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1BF" w14:textId="77777777" w:rsidR="00C4215E" w:rsidRPr="00C4215E" w:rsidRDefault="00C4215E" w:rsidP="00C4215E">
      <w:pPr>
        <w:shd w:val="clear" w:color="auto" w:fill="FFFFFF"/>
        <w:spacing w:after="150" w:line="600" w:lineRule="atLeast"/>
        <w:rPr>
          <w:rFonts w:ascii="Open Sans" w:eastAsia="Times New Roman" w:hAnsi="Open Sans" w:cs="Open Sans"/>
          <w:color w:val="141414"/>
          <w:sz w:val="48"/>
          <w:szCs w:val="48"/>
          <w:lang w:eastAsia="en-NZ"/>
        </w:rPr>
      </w:pPr>
      <w:r w:rsidRPr="00C4215E">
        <w:rPr>
          <w:rFonts w:ascii="Open Sans" w:eastAsia="Times New Roman" w:hAnsi="Open Sans" w:cs="Open Sans"/>
          <w:color w:val="141414"/>
          <w:sz w:val="48"/>
          <w:szCs w:val="48"/>
          <w:lang w:eastAsia="en-NZ"/>
        </w:rPr>
        <w:t>Reference Groups</w:t>
      </w:r>
    </w:p>
    <w:p w14:paraId="0FAD5E49" w14:textId="77777777" w:rsidR="00C4215E" w:rsidRPr="00C4215E" w:rsidRDefault="00C4215E" w:rsidP="00C4215E">
      <w:pPr>
        <w:shd w:val="clear" w:color="auto" w:fill="FFFFFF"/>
        <w:spacing w:after="0" w:line="315" w:lineRule="atLeast"/>
        <w:rPr>
          <w:rFonts w:ascii="Roboto" w:eastAsia="Times New Roman" w:hAnsi="Roboto" w:cs="Open Sans"/>
          <w:color w:val="141414"/>
          <w:spacing w:val="4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141414"/>
          <w:spacing w:val="4"/>
          <w:sz w:val="21"/>
          <w:szCs w:val="21"/>
          <w:lang w:eastAsia="en-NZ"/>
        </w:rPr>
        <w:br/>
      </w:r>
      <w:r w:rsidRPr="00C4215E">
        <w:rPr>
          <w:rFonts w:ascii="Roboto" w:eastAsia="Times New Roman" w:hAnsi="Roboto" w:cs="Open Sans"/>
          <w:b/>
          <w:bCs/>
          <w:color w:val="141414"/>
          <w:spacing w:val="4"/>
          <w:sz w:val="21"/>
          <w:szCs w:val="21"/>
          <w:lang w:eastAsia="en-NZ"/>
        </w:rPr>
        <w:t>Reference Groups</w:t>
      </w:r>
      <w:r w:rsidRPr="00C4215E">
        <w:rPr>
          <w:rFonts w:ascii="Roboto" w:eastAsia="Times New Roman" w:hAnsi="Roboto" w:cs="Open Sans"/>
          <w:color w:val="141414"/>
          <w:spacing w:val="4"/>
          <w:sz w:val="21"/>
          <w:szCs w:val="21"/>
          <w:lang w:eastAsia="en-NZ"/>
        </w:rPr>
        <w:br/>
        <w:t>The HPF has five Reference Groups (August 2019):</w:t>
      </w:r>
    </w:p>
    <w:p w14:paraId="0906DE74" w14:textId="77777777" w:rsidR="00C4215E" w:rsidRPr="00C4215E" w:rsidRDefault="00C4215E" w:rsidP="00C4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proofErr w:type="spellStart"/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Maori</w:t>
      </w:r>
      <w:proofErr w:type="spellEnd"/>
    </w:p>
    <w:p w14:paraId="6790CA00" w14:textId="77777777" w:rsidR="00C4215E" w:rsidRPr="00C4215E" w:rsidRDefault="00C4215E" w:rsidP="00C4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Pacific</w:t>
      </w:r>
    </w:p>
    <w:p w14:paraId="38A2553E" w14:textId="77777777" w:rsidR="00C4215E" w:rsidRPr="00C4215E" w:rsidRDefault="00C4215E" w:rsidP="00C4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Asian</w:t>
      </w:r>
    </w:p>
    <w:p w14:paraId="46ACECF0" w14:textId="77777777" w:rsidR="00C4215E" w:rsidRPr="00C4215E" w:rsidRDefault="00C4215E" w:rsidP="00C4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Academic</w:t>
      </w:r>
    </w:p>
    <w:p w14:paraId="730A7C9D" w14:textId="77777777" w:rsidR="00C4215E" w:rsidRPr="00C4215E" w:rsidRDefault="00C4215E" w:rsidP="00C4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Primary Care</w:t>
      </w:r>
    </w:p>
    <w:p w14:paraId="745B9389" w14:textId="77777777" w:rsidR="00C4215E" w:rsidRPr="00C4215E" w:rsidRDefault="00C4215E" w:rsidP="00C421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Reference Groups provide high level operations advice and are a forum for health promotion leaders to discuss important issues. They meet twice per year with teleconferences and email discussions as necessary.</w:t>
      </w: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Each Group, in its Terms of Reference, identifies specific objectives based on the following shared objectives to:</w:t>
      </w: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</w:p>
    <w:p w14:paraId="7837DC63" w14:textId="77777777" w:rsidR="00C4215E" w:rsidRPr="00C4215E" w:rsidRDefault="00C4215E" w:rsidP="00C4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 xml:space="preserve">Strengthen health promotion leadership, </w:t>
      </w:r>
      <w:proofErr w:type="gramStart"/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relationships</w:t>
      </w:r>
      <w:proofErr w:type="gramEnd"/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 xml:space="preserve"> and workforce</w:t>
      </w:r>
    </w:p>
    <w:p w14:paraId="120EB848" w14:textId="77777777" w:rsidR="00C4215E" w:rsidRPr="00C4215E" w:rsidRDefault="00C4215E" w:rsidP="00C4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Advise HPF on the development of health promotion and the health promotion workforce, particularly in the Reference Group’s area of focus</w:t>
      </w:r>
    </w:p>
    <w:p w14:paraId="59C04E70" w14:textId="77777777" w:rsidR="00C4215E" w:rsidRPr="00C4215E" w:rsidRDefault="00C4215E" w:rsidP="00C4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Advise and support the delivery of HPF services in accord with the HPF </w:t>
      </w:r>
      <w:hyperlink r:id="rId5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Strategic Plan</w:t>
        </w:r>
      </w:hyperlink>
    </w:p>
    <w:p w14:paraId="418E05F0" w14:textId="77777777" w:rsidR="00C4215E" w:rsidRPr="00C4215E" w:rsidRDefault="00C4215E" w:rsidP="00C4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Provide a regular forum for the Reference Group members to consider matters of common interest</w:t>
      </w:r>
    </w:p>
    <w:p w14:paraId="0086AD92" w14:textId="77777777" w:rsidR="00C4215E" w:rsidRPr="00C4215E" w:rsidRDefault="00C4215E" w:rsidP="00C4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170"/>
        <w:rPr>
          <w:rFonts w:ascii="Roboto" w:eastAsia="Times New Roman" w:hAnsi="Roboto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t>Advise the Ministry of Health as and when appropriate (usually via the HPF Executive Director).</w:t>
      </w:r>
    </w:p>
    <w:p w14:paraId="05F7FBB9" w14:textId="77777777" w:rsidR="00C4215E" w:rsidRDefault="00C4215E" w:rsidP="00C4215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The Terms of Reference also recognise values of particular importance to HPF and to the members of the Reference Group and reflect the values and principles in the </w:t>
      </w:r>
      <w:hyperlink r:id="rId6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HPF Constitution.</w:t>
        </w:r>
      </w:hyperlink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Priorities and actions vary between Groups but are in line with the HPF </w:t>
      </w:r>
      <w:hyperlink r:id="rId7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Strategic Plan</w:t>
        </w:r>
      </w:hyperlink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 and other HPF strategies and plans. Structure and working of the Reference Groups are guided by the </w:t>
      </w:r>
      <w:hyperlink r:id="rId8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Reference Group Policy</w:t>
        </w:r>
      </w:hyperlink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 which was reviewed September 2009</w:t>
      </w: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Each Reference Group is supported by a HPF Strategist or the Executive Director and the following people can provide more information.</w:t>
      </w:r>
    </w:p>
    <w:p w14:paraId="49BD644C" w14:textId="7C5A00AE" w:rsidR="00C4215E" w:rsidRPr="00C4215E" w:rsidRDefault="00C4215E" w:rsidP="00C4215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</w:pPr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Pacific – Viliami Puloka viliami</w:t>
      </w:r>
      <w:hyperlink r:id="rId9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@hauora.co.nz</w:t>
        </w:r>
      </w:hyperlink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Asian – Sione Tu’itahi </w:t>
      </w:r>
      <w:hyperlink r:id="rId10" w:history="1">
        <w:r w:rsidRPr="00C4215E">
          <w:rPr>
            <w:rFonts w:ascii="Roboto" w:eastAsia="Times New Roman" w:hAnsi="Roboto" w:cs="Open Sans"/>
            <w:color w:val="22A7F0"/>
            <w:sz w:val="21"/>
            <w:szCs w:val="21"/>
            <w:u w:val="single"/>
            <w:lang w:eastAsia="en-NZ"/>
          </w:rPr>
          <w:t>sione@hauora.co.nz</w:t>
        </w:r>
      </w:hyperlink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Academic – Sione Tu’itahi </w:t>
      </w:r>
      <w:hyperlink r:id="rId11" w:history="1">
        <w:r w:rsidRPr="00C4215E">
          <w:rPr>
            <w:rFonts w:ascii="Roboto" w:eastAsia="Times New Roman" w:hAnsi="Roboto" w:cs="Open Sans"/>
            <w:color w:val="22A7F0"/>
            <w:sz w:val="21"/>
            <w:szCs w:val="21"/>
            <w:u w:val="single"/>
            <w:lang w:eastAsia="en-NZ"/>
          </w:rPr>
          <w:t>sione@hauora.co.nz</w:t>
        </w:r>
      </w:hyperlink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Primary Care – Sione Tu’itahi sione</w:t>
      </w:r>
      <w:hyperlink r:id="rId12" w:history="1">
        <w:r w:rsidRPr="00C4215E">
          <w:rPr>
            <w:rFonts w:ascii="Roboto" w:eastAsia="Times New Roman" w:hAnsi="Roboto" w:cs="Open Sans"/>
            <w:b/>
            <w:bCs/>
            <w:color w:val="22A7F0"/>
            <w:sz w:val="21"/>
            <w:szCs w:val="21"/>
            <w:lang w:eastAsia="en-NZ"/>
          </w:rPr>
          <w:t>@hauora.co.nz</w:t>
        </w:r>
      </w:hyperlink>
      <w:r w:rsidRPr="00C4215E">
        <w:rPr>
          <w:rFonts w:ascii="Roboto" w:eastAsia="Times New Roman" w:hAnsi="Roboto" w:cs="Open Sans"/>
          <w:color w:val="000000"/>
          <w:sz w:val="21"/>
          <w:szCs w:val="21"/>
          <w:lang w:eastAsia="en-NZ"/>
        </w:rPr>
        <w:br/>
      </w:r>
      <w:proofErr w:type="spellStart"/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Maori</w:t>
      </w:r>
      <w:proofErr w:type="spellEnd"/>
      <w:r w:rsidRPr="00C4215E"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 xml:space="preserve"> –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NZ"/>
        </w:rPr>
        <w:t>Mereana Te Pere</w:t>
      </w:r>
    </w:p>
    <w:p w14:paraId="42B55ACE" w14:textId="77777777" w:rsidR="00A35919" w:rsidRDefault="00C4215E"/>
    <w:sectPr w:rsidR="00A3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492"/>
    <w:multiLevelType w:val="multilevel"/>
    <w:tmpl w:val="B254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84BF6"/>
    <w:multiLevelType w:val="multilevel"/>
    <w:tmpl w:val="A52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88880">
    <w:abstractNumId w:val="0"/>
  </w:num>
  <w:num w:numId="2" w16cid:durableId="60870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5E"/>
    <w:rsid w:val="00605CB7"/>
    <w:rsid w:val="00922942"/>
    <w:rsid w:val="00AB1A0C"/>
    <w:rsid w:val="00C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47C3"/>
  <w15:chartTrackingRefBased/>
  <w15:docId w15:val="{1399F935-A3A7-4BD0-A57A-6CC14D06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ora.co.nz/resources/ReferenceGroupPolic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uora.co.nz/resources/HPFStrategicPlanRevised09.pdf" TargetMode="External"/><Relationship Id="rId12" Type="http://schemas.openxmlformats.org/officeDocument/2006/relationships/hyperlink" Target="mailto:trevor@hauo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eties.govt.nz/scanned-images/51/BC10056667851.pdf" TargetMode="External"/><Relationship Id="rId11" Type="http://schemas.openxmlformats.org/officeDocument/2006/relationships/hyperlink" Target="mailto:sione@hauora.co.nz" TargetMode="External"/><Relationship Id="rId5" Type="http://schemas.openxmlformats.org/officeDocument/2006/relationships/hyperlink" Target="http://www.hauora.co.nz/resources/HPFStrategicPlanRevised09.pdf" TargetMode="External"/><Relationship Id="rId10" Type="http://schemas.openxmlformats.org/officeDocument/2006/relationships/hyperlink" Target="mailto:sione@hauo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ti@hauora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Ngatoko</dc:creator>
  <cp:keywords/>
  <dc:description/>
  <cp:lastModifiedBy>Lavinia Ngatoko</cp:lastModifiedBy>
  <cp:revision>1</cp:revision>
  <dcterms:created xsi:type="dcterms:W3CDTF">2022-06-09T04:58:00Z</dcterms:created>
  <dcterms:modified xsi:type="dcterms:W3CDTF">2022-06-09T04:59:00Z</dcterms:modified>
</cp:coreProperties>
</file>